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47" w:type="dxa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08"/>
        <w:gridCol w:w="1701"/>
        <w:gridCol w:w="4225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6" w:type="dxa"/>
            <w:gridSpan w:val="3"/>
            <w:noWrap w:val="0"/>
            <w:vAlign w:val="center"/>
          </w:tcPr>
          <w:p>
            <w:pPr>
              <w:snapToGrid w:val="0"/>
              <w:spacing w:line="288" w:lineRule="auto"/>
              <w:ind w:firstLine="963" w:firstLineChars="400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条款内容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napToGrid w:val="0"/>
              <w:spacing w:line="288" w:lineRule="auto"/>
              <w:ind w:firstLine="1445" w:firstLineChars="600"/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编列内容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ind w:firstLine="722" w:firstLineChars="300"/>
              <w:jc w:val="both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分值构成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（总分100分）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225" w:type="dxa"/>
            <w:noWrap w:val="0"/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商务部分：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技术部分：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投标报价：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u w:val="singl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其他评分因素：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分（如有）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评标基准价计算方法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有效的投标报价中的最低价作为评标基准价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88" w:lineRule="auto"/>
              <w:ind w:left="-38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符合价格扣除政策的，用扣除后的价格参与计算、评分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条款号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评分因素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商务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部分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企业认证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15分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1.具有有效的质量管理体系认证证书的，得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５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2.具有有效的环境管理体系认证证书的，得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５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8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3.具有有效的职业健康安全管理体系认证证书的，得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５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注：需提供认证证书扫描件，否则不得分。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投标人业绩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投标人提供2019年1月1日（以合同签订时间为准）以来同类项目的3个业绩，销售额累计（3个业绩）最高的得第一名（提供合同复印件和业主联系方式），每份得分5分，满分15分。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技术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部分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质量控制方案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（15分</w:t>
            </w:r>
            <w:r>
              <w:rPr>
                <w:rFonts w:hint="eastAsia" w:ascii="宋体" w:hAnsi="宋体" w:cs="宋体"/>
                <w:color w:val="000000"/>
                <w:kern w:val="2"/>
                <w:szCs w:val="24"/>
                <w:lang w:val="en-US" w:eastAsia="zh-CN" w:bidi="ar"/>
              </w:rPr>
              <w:t>）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为服务本项目制定的质量控制方案，包括：</w:t>
            </w:r>
            <w:r>
              <w:rPr>
                <w:rFonts w:hint="eastAsia" w:ascii="宋体" w:hAnsi="宋体"/>
                <w:sz w:val="24"/>
                <w:szCs w:val="24"/>
              </w:rPr>
              <w:t>质量体系及措施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、管理制度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等，由评审专家综合评分。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1.方案思路清晰完整，设计严密科学，切实可行的，得1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2.方案思路较为清晰完整，设计较严密科学，较切实可行的，得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3.方案思路不够清晰完整，设计不够严密科学，不够切实可行的，得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分； </w:t>
            </w:r>
          </w:p>
          <w:p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投标文件中未提供方案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不得分。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施工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方案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投标人提供施工组织设计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项目实施计划</w:t>
            </w:r>
            <w:r>
              <w:rPr>
                <w:rFonts w:hint="eastAsia"/>
                <w:sz w:val="24"/>
                <w:szCs w:val="24"/>
                <w:lang w:eastAsia="zh-CN"/>
              </w:rPr>
              <w:t>、维修</w:t>
            </w:r>
            <w:r>
              <w:rPr>
                <w:rFonts w:hint="eastAsia"/>
                <w:sz w:val="24"/>
                <w:szCs w:val="24"/>
              </w:rPr>
              <w:t>安装方案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清掏服务、管道疏通方案及技术措施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安装队伍实力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人员配备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设备使用、维护培训方案</w:t>
            </w:r>
            <w:r>
              <w:rPr>
                <w:rFonts w:hint="eastAsia"/>
                <w:sz w:val="24"/>
                <w:szCs w:val="24"/>
                <w:lang w:eastAsia="zh-CN"/>
              </w:rPr>
              <w:t>等，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由评审专家综合评分。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1.方案思路清晰完整，设计严密科学，切实可行的，得1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2.方案思路较为清晰完整，设计较严密科学，较切实可行的，得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3.方案思路不够清晰完整，设计不够严密科学，不够切实可行的，得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分； </w:t>
            </w:r>
          </w:p>
          <w:p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未提供方案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不得分。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877" w:type="dxa"/>
            <w:vMerge w:val="continue"/>
            <w:noWrap w:val="0"/>
            <w:vAlign w:val="top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服务承诺方案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（１０分）</w:t>
            </w:r>
          </w:p>
        </w:tc>
        <w:tc>
          <w:tcPr>
            <w:tcW w:w="62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为服务本项目制定的服务承诺方案，包括：维保周期、优惠承诺、售后服务承诺等，由评审专家综合评分。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1.承诺方案全面周到，切实可行的，得10分；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2.承诺方案较全面周到，较切实可行的，得7分；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3.承诺方案不够全面周到，不够切实可行的，得3分；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 w:line="288" w:lineRule="auto"/>
              <w:ind w:right="0" w:righ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4.差的或未提供不得分。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投标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报价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投标报价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满足招标文件要求且投标价格最低的投标报价的价格分为满分，其他投标人的价格分统一按照下列公式计算：</w:t>
            </w:r>
          </w:p>
          <w:p>
            <w:pPr>
              <w:widowControl/>
              <w:snapToGrid w:val="0"/>
              <w:spacing w:line="288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投标报价得分＝（评标基准价/投标报价）×</w:t>
            </w:r>
            <w:r>
              <w:rPr>
                <w:rFonts w:hint="eastAsia"/>
                <w:lang w:val="en-US" w:eastAsia="zh-CN"/>
              </w:rPr>
              <w:t>30%×100，四舍五入保留两位小数。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2.投标总报价高于最高限价的为无效报价。</w:t>
            </w:r>
            <w:bookmarkStart w:id="0" w:name="_GoBack"/>
            <w:bookmarkEnd w:id="0"/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spacing w:line="288" w:lineRule="auto"/>
              <w:ind w:left="-38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符合价格扣除政策的，用扣除后的价格参与计算、评分</w:t>
            </w:r>
          </w:p>
        </w:tc>
      </w:tr>
    </w:tbl>
    <w:tbl>
      <w:tblPr>
        <w:tblStyle w:val="7"/>
        <w:tblpPr w:leftFromText="180" w:rightFromText="180" w:vertAnchor="text" w:tblpX="10214" w:tblpY="-24895"/>
        <w:tblOverlap w:val="never"/>
        <w:tblW w:w="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1504"/>
    <w:rsid w:val="7BBE914B"/>
    <w:rsid w:val="7EBF27CD"/>
    <w:rsid w:val="7F6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kern w:val="44"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2"/>
      <w:szCs w:val="20"/>
      <w:lang w:val="en-GB" w:eastAsia="en-US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2022-11-29T06:44:00Z</dcterms:created>
  <dc:creator>baixin</dc:creator>
  <cp:lastModifiedBy>baixin</cp:lastModifiedBy>
  <dcterms:modified xsi:type="dcterms:W3CDTF">2022-11-28T17:06:33Z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