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23" w:type="dxa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42"/>
        <w:gridCol w:w="1758"/>
        <w:gridCol w:w="4386"/>
        <w:gridCol w:w="2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  <w:gridSpan w:val="3"/>
            <w:noWrap w:val="0"/>
            <w:vAlign w:val="center"/>
          </w:tcPr>
          <w:p>
            <w:pPr>
              <w:snapToGrid w:val="0"/>
              <w:spacing w:line="288" w:lineRule="auto"/>
              <w:ind w:firstLine="963" w:firstLineChars="400"/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条款内容</w:t>
            </w:r>
          </w:p>
        </w:tc>
        <w:tc>
          <w:tcPr>
            <w:tcW w:w="4386" w:type="dxa"/>
            <w:noWrap w:val="0"/>
            <w:vAlign w:val="center"/>
          </w:tcPr>
          <w:p>
            <w:pPr>
              <w:snapToGrid w:val="0"/>
              <w:spacing w:line="288" w:lineRule="auto"/>
              <w:ind w:firstLine="1445" w:firstLineChars="600"/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编列内容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ind w:firstLine="722" w:firstLineChars="300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分值构成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（总分100分）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386" w:type="dxa"/>
            <w:noWrap w:val="0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商务部分：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分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技术部分：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分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投标报价：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分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其他评分因素：</w:t>
            </w:r>
            <w:r>
              <w:rPr>
                <w:rFonts w:hint="eastAsia" w:ascii="宋体" w:hAnsi="宋体" w:eastAsia="宋体" w:cs="宋体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分（如有）</w:t>
            </w:r>
          </w:p>
        </w:tc>
        <w:tc>
          <w:tcPr>
            <w:tcW w:w="2012" w:type="dxa"/>
            <w:noWrap w:val="0"/>
            <w:vAlign w:val="top"/>
          </w:tcPr>
          <w:p>
            <w:pPr>
              <w:widowControl/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评标基准价计算方法</w:t>
            </w:r>
          </w:p>
        </w:tc>
        <w:tc>
          <w:tcPr>
            <w:tcW w:w="4386" w:type="dxa"/>
            <w:noWrap w:val="0"/>
            <w:vAlign w:val="center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有效的投标报价中的最低价作为评标基准价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88" w:lineRule="auto"/>
              <w:ind w:left="-38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符合价格扣除政策的，用扣除后的价格参与计算、评分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6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条款号</w:t>
            </w:r>
          </w:p>
        </w:tc>
        <w:tc>
          <w:tcPr>
            <w:tcW w:w="17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评分因素</w:t>
            </w:r>
          </w:p>
        </w:tc>
        <w:tc>
          <w:tcPr>
            <w:tcW w:w="6398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评分标准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商务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部分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企业认证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15分</w:t>
            </w: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639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具有有效的国家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认证证书的，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2.具有有效的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全自动隔油提升设备专利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证书的，得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3.具有有效的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油水分离器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证书的，得</w:t>
            </w:r>
            <w:r>
              <w:rPr>
                <w:rFonts w:hint="eastAsia" w:ascii="宋体" w:hAnsi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注：需提供认证证书扫描件，否则不得分。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投标人业绩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9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投标人提供20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年1月1日（以合同签订时间为准）以来同类项目的3个业绩，销售额累计（3个业绩）最高的得第一名（提供合同复印件和业主联系方式），每份得分5分，满分15分。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restart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技术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部分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质量控制方案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（15分</w:t>
            </w:r>
            <w:r>
              <w:rPr>
                <w:rFonts w:hint="eastAsia" w:ascii="宋体" w:hAnsi="宋体" w:cs="宋体"/>
                <w:color w:val="000000"/>
                <w:kern w:val="2"/>
                <w:szCs w:val="24"/>
                <w:lang w:val="en-US" w:eastAsia="zh-CN" w:bidi="ar"/>
              </w:rPr>
              <w:t>）</w:t>
            </w:r>
          </w:p>
        </w:tc>
        <w:tc>
          <w:tcPr>
            <w:tcW w:w="639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为服务本项目制定的质量控制方案，包括：</w:t>
            </w:r>
            <w:r>
              <w:rPr>
                <w:rFonts w:hint="eastAsia" w:ascii="宋体" w:hAnsi="宋体"/>
                <w:sz w:val="24"/>
                <w:szCs w:val="24"/>
              </w:rPr>
              <w:t>质量体系及措施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、管理制度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等，由评审专家综合评分。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1.方案思路清晰完整，设计严密科学，切实可行的，得1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分；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2.方案思路较为清晰完整，设计较严密科学，较切实可行的，得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分；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3.方案思路不够清晰完整，设计不够严密科学，不够切实可行的，得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分； 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投标文件中未提供方案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不得分。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施工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方案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98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投标人提供施工组织设计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项目实施计划</w:t>
            </w:r>
            <w:r>
              <w:rPr>
                <w:rFonts w:hint="eastAsia"/>
                <w:sz w:val="24"/>
                <w:szCs w:val="24"/>
                <w:lang w:eastAsia="zh-CN"/>
              </w:rPr>
              <w:t>、维修</w:t>
            </w:r>
            <w:r>
              <w:rPr>
                <w:rFonts w:hint="eastAsia"/>
                <w:sz w:val="24"/>
                <w:szCs w:val="24"/>
              </w:rPr>
              <w:t>安装方案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清掏服务、管道疏通方案及技术措施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安装队伍实力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人员配备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设备使用、维护培训方案</w:t>
            </w:r>
            <w:r>
              <w:rPr>
                <w:rFonts w:hint="eastAsia"/>
                <w:sz w:val="24"/>
                <w:szCs w:val="24"/>
                <w:lang w:eastAsia="zh-CN"/>
              </w:rPr>
              <w:t>等，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由评审专家综合评分。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1.方案思路清晰完整，设计严密科学，切实可行的，得1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分；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2.方案思路较为清晰完整，设计较严密科学，较切实可行的，得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分；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3.方案思路不够清晰完整，设计不够严密科学，不够切实可行的，得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分； </w:t>
            </w:r>
          </w:p>
          <w:p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未提供方案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不得分。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525" w:type="dxa"/>
            <w:vMerge w:val="continue"/>
            <w:noWrap w:val="0"/>
            <w:vAlign w:val="top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3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服务承诺方案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（１０分）</w:t>
            </w:r>
          </w:p>
        </w:tc>
        <w:tc>
          <w:tcPr>
            <w:tcW w:w="6398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为服务本项目制定的服务承诺方案，包括：维保周期、优惠承诺、售后服务承诺等，由评审专家综合评分。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1.承诺方案全面周到，切实可行的，得10分；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2.承诺方案较全面周到，较切实可行的，得7分；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3.承诺方案不够全面周到，不够切实可行的，得3分；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88" w:lineRule="auto"/>
              <w:ind w:right="0" w:rightChars="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4.差的或未提供不得分。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5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投标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报价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投标报价</w:t>
            </w:r>
          </w:p>
          <w:p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4386" w:type="dxa"/>
            <w:noWrap w:val="0"/>
            <w:vAlign w:val="center"/>
          </w:tcPr>
          <w:p>
            <w:pPr>
              <w:widowControl/>
              <w:snapToGrid w:val="0"/>
              <w:spacing w:line="288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满足招标文件要求且投标价格最低的投标报价的价格分为满分，其他投标人的价格分统一按照下列公式计算：</w:t>
            </w:r>
          </w:p>
          <w:p>
            <w:pPr>
              <w:widowControl/>
              <w:snapToGrid w:val="0"/>
              <w:spacing w:line="288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投标报价得分＝（评标基准价/投标报价）×</w:t>
            </w:r>
            <w:r>
              <w:rPr>
                <w:rFonts w:hint="eastAsia"/>
                <w:lang w:val="en-US" w:eastAsia="zh-CN"/>
              </w:rPr>
              <w:t>30%×100，四舍五入保留两位小数。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2.投标总报价高于最高限价的为无效报价。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snapToGrid w:val="0"/>
              <w:spacing w:line="288" w:lineRule="auto"/>
              <w:ind w:left="-38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符合价格扣除政策的，用扣除后的价格参与计算、评分</w:t>
            </w:r>
          </w:p>
        </w:tc>
      </w:tr>
    </w:tbl>
    <w:tbl>
      <w:tblPr>
        <w:tblStyle w:val="7"/>
        <w:tblpPr w:leftFromText="180" w:rightFromText="180" w:vertAnchor="text" w:tblpX="10214" w:tblpY="-24895"/>
        <w:tblOverlap w:val="never"/>
        <w:tblW w:w="1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8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F1504"/>
    <w:rsid w:val="2AC90C9A"/>
    <w:rsid w:val="53BF2A5E"/>
    <w:rsid w:val="6FEDF257"/>
    <w:rsid w:val="70AF7F0C"/>
    <w:rsid w:val="7BBE914B"/>
    <w:rsid w:val="7EBF27CD"/>
    <w:rsid w:val="7F6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kern w:val="44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2"/>
      <w:szCs w:val="20"/>
      <w:lang w:val="en-GB" w:eastAsia="en-US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989</Characters>
  <Lines>0</Lines>
  <Paragraphs>0</Paragraphs>
  <TotalTime>25</TotalTime>
  <ScaleCrop>false</ScaleCrop>
  <LinksUpToDate>false</LinksUpToDate>
  <CharactersWithSpaces>1019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2022-11-29T14:44:00Z</dcterms:created>
  <dc:creator>baixin</dc:creator>
  <cp:lastModifiedBy>baixin</cp:lastModifiedBy>
  <dcterms:modified xsi:type="dcterms:W3CDTF">2025-12-04T15:35:58Z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eyJoZGlkIjoiOGQzYzE5OWFkZGRjZjk3NzgzOWZkYzdhZmFkODU5NDgiLCJ1c2VySWQiOiI1OTIwOTAzODMifQ==</vt:lpwstr>
  </property>
  <property fmtid="{D5CDD505-2E9C-101B-9397-08002B2CF9AE}" pid="4" name="ICV">
    <vt:lpwstr>63DC3F9C346E4040BB75A7EF091F2F50_12</vt:lpwstr>
  </property>
</Properties>
</file>